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978C4">
      <w:pPr>
        <w:keepNext w:val="0"/>
        <w:keepLines w:val="0"/>
        <w:pageBreakBefore w:val="0"/>
        <w:widowControl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东湖高新区卫生健康事业发展概况</w:t>
      </w:r>
    </w:p>
    <w:p w14:paraId="0EE0C45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sz w:val="32"/>
          <w:szCs w:val="32"/>
          <w:lang w:val="en-US" w:eastAsia="zh-CN"/>
        </w:rPr>
      </w:pPr>
    </w:p>
    <w:p w14:paraId="274A614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近年来，武汉东湖新技术开发区（简称“东湖高新区”，即“中国光谷”）秉持“健康光谷”理念助力“世界光谷”建设，出台“光谷卫生健康十条”政策，致力深化医药卫生体制改革和加快医疗卫生服务体系建设，推动卫生健康事业高质量发展。</w:t>
      </w:r>
    </w:p>
    <w:p w14:paraId="6FE0CF6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目前，东湖高新区已初步建成“1+7+15+N”医疗卫生服务体系，包括1个国家医学中心、7家三甲医院（或建设项目）、15家区域基层医疗分中心、区疾控中心等。同时，着重</w:t>
      </w:r>
      <w:r>
        <w:rPr>
          <w:rFonts w:hint="eastAsia" w:ascii="Times New Roman" w:hAnsi="Times New Roman" w:eastAsia="仿宋_GB2312" w:cs="Times New Roman"/>
          <w:snapToGrid w:val="0"/>
          <w:color w:val="auto"/>
          <w:kern w:val="0"/>
          <w:sz w:val="32"/>
          <w:szCs w:val="32"/>
          <w:highlight w:val="none"/>
        </w:rPr>
        <w:t>以基层为重点加快建设分级诊疗体系，</w:t>
      </w:r>
      <w:r>
        <w:rPr>
          <w:rFonts w:hint="eastAsia" w:ascii="Times New Roman" w:hAnsi="Times New Roman" w:eastAsia="仿宋_GB2312" w:cs="Times New Roman"/>
          <w:snapToGrid w:val="0"/>
          <w:color w:val="auto"/>
          <w:kern w:val="0"/>
          <w:sz w:val="32"/>
          <w:szCs w:val="32"/>
          <w:highlight w:val="none"/>
          <w:lang w:eastAsia="zh-CN"/>
        </w:rPr>
        <w:t>增强社区卫生服务中心等基层医疗卫生机构综合服务能力，</w:t>
      </w:r>
      <w:r>
        <w:rPr>
          <w:rFonts w:hint="eastAsia" w:ascii="Times New Roman" w:hAnsi="Times New Roman" w:eastAsia="仿宋_GB2312" w:cs="Times New Roman"/>
          <w:snapToGrid w:val="0"/>
          <w:color w:val="auto"/>
          <w:kern w:val="0"/>
          <w:sz w:val="32"/>
          <w:szCs w:val="32"/>
          <w:highlight w:val="none"/>
          <w:lang w:val="en-US" w:eastAsia="zh-CN"/>
        </w:rPr>
        <w:t>按照硬件搭台、人才唱戏、服务跃升原则，推进社区卫生服务中心高举高打、整区建设，在全市范围内率先提出按照二级医院标准打造区域基层医疗分中心，相关概念被写入《武汉市卫生健康事业发展“十四五”规划》；国家、省、市领导多次亲临调研并给予充分肯定，是省、市重点推介的基层医疗卫生发展标杆。</w:t>
      </w:r>
    </w:p>
    <w:p w14:paraId="76262C8E">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东湖高新区基层医疗卫生机构建设发展成效显著，全区新建社区卫生服务中心项目用地在10-20亩之间，建筑规模均在1万平方米左右，最高超过3万平方米，建设有洁净检验室、层流手术室、消毒供应中心和标准化病房等设施；全部配置CT、DR、高端彩超、智能全自动发药机、负压救护车等设备。现有社区卫生服务中心均通过国家“优质服务基层行”评选，其中6家为推荐（第一档）标准，多家位列全市绩效评比前10名，2023年总诊疗量近130万人次。各社区卫生服务中心开设诊疗科目齐全，并与区内外高水平医院建立合作关系，专家定期实地坐诊和带教。</w:t>
      </w:r>
    </w:p>
    <w:p w14:paraId="3E897A1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本次招聘单位实景图或效果图展示如下：</w:t>
      </w:r>
    </w:p>
    <w:p w14:paraId="452A905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p>
    <w:p w14:paraId="1C25EB55">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一、武汉东湖新技术开发区疾病预防控制中心（实景图）</w:t>
      </w:r>
    </w:p>
    <w:p w14:paraId="2F7ED15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201285" cy="2923540"/>
            <wp:effectExtent l="0" t="0" r="18415" b="1016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01285" cy="2923540"/>
                    </a:xfrm>
                    <a:prstGeom prst="rect">
                      <a:avLst/>
                    </a:prstGeom>
                  </pic:spPr>
                </pic:pic>
              </a:graphicData>
            </a:graphic>
          </wp:inline>
        </w:drawing>
      </w:r>
    </w:p>
    <w:p w14:paraId="03FEEC73">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 xml:space="preserve">该中心建筑面积17400㎡，是公益一类正处级事业单位。设有疾控一科、疾控二科、卫生检验科、卫生法治科、职业卫生科、妇幼保健科、急救中心指挥室、基层指导科等8个业务科室，先后获评“湖北省抗击新冠肺炎疫情先进集体”、“全省先进基层党组织”等称号。该中心是全省唯一承担湖北省卫健委综合监督局职业卫生分类监督执法工作试点的县区级疾控中心。 </w:t>
      </w:r>
    </w:p>
    <w:p w14:paraId="1AD4F5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0E6DBA3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1CE9F4A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bookmarkStart w:id="0" w:name="_GoBack"/>
      <w:bookmarkEnd w:id="0"/>
    </w:p>
    <w:p w14:paraId="350EECCC">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二、武汉东湖新技术开发区</w:t>
      </w:r>
      <w:r>
        <w:rPr>
          <w:rFonts w:hint="default" w:ascii="黑体" w:hAnsi="黑体" w:eastAsia="黑体" w:cs="黑体"/>
          <w:sz w:val="30"/>
          <w:szCs w:val="30"/>
          <w:lang w:val="en-US" w:eastAsia="zh-CN"/>
        </w:rPr>
        <w:t>佛祖岭街社区卫生服务中心</w:t>
      </w:r>
      <w:r>
        <w:rPr>
          <w:rFonts w:hint="eastAsia" w:ascii="黑体" w:hAnsi="黑体" w:eastAsia="黑体" w:cs="黑体"/>
          <w:sz w:val="30"/>
          <w:szCs w:val="30"/>
          <w:lang w:val="en-US" w:eastAsia="zh-CN"/>
        </w:rPr>
        <w:t>（实景图）</w:t>
      </w:r>
    </w:p>
    <w:p w14:paraId="222B04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092700" cy="3113405"/>
            <wp:effectExtent l="0" t="0" r="12700" b="1079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092700" cy="3113405"/>
                    </a:xfrm>
                    <a:prstGeom prst="rect">
                      <a:avLst/>
                    </a:prstGeom>
                  </pic:spPr>
                </pic:pic>
              </a:graphicData>
            </a:graphic>
          </wp:inline>
        </w:drawing>
      </w:r>
    </w:p>
    <w:p w14:paraId="6B95BDF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12000㎡，同时建筑规模达到29000㎡的新院区正在加快建设，预计2025年6月建成。设全科、公共卫生科、中医康复科、妇科、儿科、产科、口腔科、眼科、检验科、放射科等。是东湖高新区一家具有“中医特色”，医疗实力较强的综合性社区卫生服务中心。</w:t>
      </w:r>
    </w:p>
    <w:p w14:paraId="0B53B4C3">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B48A9F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369E41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B603E6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A60F7F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36F091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0E71DC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2D681C5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8C4107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300" w:firstLineChars="1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三、武汉东湖新技术开发区</w:t>
      </w:r>
      <w:r>
        <w:rPr>
          <w:rFonts w:hint="default" w:ascii="黑体" w:hAnsi="黑体" w:eastAsia="黑体" w:cs="黑体"/>
          <w:sz w:val="30"/>
          <w:szCs w:val="30"/>
          <w:lang w:val="en-US" w:eastAsia="zh-CN"/>
        </w:rPr>
        <w:t>豹澥街社区卫生服务中心</w:t>
      </w:r>
      <w:r>
        <w:rPr>
          <w:rFonts w:hint="eastAsia" w:ascii="黑体" w:hAnsi="黑体" w:eastAsia="黑体" w:cs="黑体"/>
          <w:sz w:val="30"/>
          <w:szCs w:val="30"/>
          <w:lang w:val="en-US" w:eastAsia="zh-CN"/>
        </w:rPr>
        <w:t>（效果图）</w:t>
      </w:r>
    </w:p>
    <w:p w14:paraId="27568475">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099050" cy="2503805"/>
            <wp:effectExtent l="0" t="0" r="6350" b="1079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099050" cy="2503805"/>
                    </a:xfrm>
                    <a:prstGeom prst="rect">
                      <a:avLst/>
                    </a:prstGeom>
                  </pic:spPr>
                </pic:pic>
              </a:graphicData>
            </a:graphic>
          </wp:inline>
        </w:drawing>
      </w:r>
    </w:p>
    <w:p w14:paraId="24E71D4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3800㎡，同时建筑规模达33000㎡的新院区正在加快建设，预计2026年投入使用。设全科、预防保健科、妇产科、中医科、医学检验科、医学影像科、口腔科等。未来将建成集医疗与养老为一体的综合性基层医疗机构。</w:t>
      </w:r>
    </w:p>
    <w:p w14:paraId="1DB6E33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BF581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595969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72EB5B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7DCA2F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450CC0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4A3373C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0F84DD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745BC5F">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E4FB91E">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AD0FDB6">
      <w:pPr>
        <w:keepNext w:val="0"/>
        <w:keepLines w:val="0"/>
        <w:pageBreakBefore w:val="0"/>
        <w:widowControl w:val="0"/>
        <w:kinsoku/>
        <w:wordWrap/>
        <w:overflowPunct/>
        <w:topLinePunct w:val="0"/>
        <w:autoSpaceDE/>
        <w:autoSpaceDN/>
        <w:bidi w:val="0"/>
        <w:adjustRightInd/>
        <w:snapToGrid/>
        <w:spacing w:after="157" w:afterLines="50"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四：武汉东湖新技术开发区九峰街社区卫生服务中心（实景图）</w:t>
      </w:r>
    </w:p>
    <w:p w14:paraId="12F174EB">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138420" cy="2344420"/>
            <wp:effectExtent l="0" t="0" r="5080" b="1778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8"/>
                    <a:stretch>
                      <a:fillRect/>
                    </a:stretch>
                  </pic:blipFill>
                  <pic:spPr>
                    <a:xfrm>
                      <a:off x="0" y="0"/>
                      <a:ext cx="5138420" cy="2344420"/>
                    </a:xfrm>
                    <a:prstGeom prst="rect">
                      <a:avLst/>
                    </a:prstGeom>
                  </pic:spPr>
                </pic:pic>
              </a:graphicData>
            </a:graphic>
          </wp:inline>
        </w:drawing>
      </w:r>
    </w:p>
    <w:p w14:paraId="1257068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毗邻高新区管委会，建筑面积8100㎡，设全科、妇科、中医康复科、口腔科、放射科、检验科、公共卫生科室等。配有40排CT、悬吊式DR、彩色多普勒超声机、先进全自动生化、全血液细胞学检测仪等先进仪器设备。</w:t>
      </w:r>
    </w:p>
    <w:p w14:paraId="2F26384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4425D5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E541A5E">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37AB24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3A5F06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389EAA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A562DC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EEBB84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EA2DC7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F7B7CE1">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4AE829AC">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4ADAB0B">
      <w:pPr>
        <w:keepNext w:val="0"/>
        <w:keepLines w:val="0"/>
        <w:pageBreakBefore w:val="0"/>
        <w:widowControl w:val="0"/>
        <w:kinsoku/>
        <w:wordWrap/>
        <w:overflowPunct/>
        <w:topLinePunct w:val="0"/>
        <w:autoSpaceDE/>
        <w:autoSpaceDN/>
        <w:bidi w:val="0"/>
        <w:adjustRightInd/>
        <w:snapToGrid/>
        <w:spacing w:after="157" w:afterLines="50"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五、武汉东湖新技术开发区花山街社区卫生服务中心（实景图）</w:t>
      </w:r>
    </w:p>
    <w:p w14:paraId="328875C1">
      <w:pPr>
        <w:keepNext w:val="0"/>
        <w:keepLines w:val="0"/>
        <w:pageBreakBefore w:val="0"/>
        <w:widowControl w:val="0"/>
        <w:kinsoku/>
        <w:wordWrap/>
        <w:overflowPunct/>
        <w:topLinePunct w:val="0"/>
        <w:autoSpaceDE/>
        <w:autoSpaceDN/>
        <w:bidi w:val="0"/>
        <w:adjustRightInd/>
        <w:snapToGrid/>
        <w:spacing w:after="157" w:afterLines="50" w:line="240" w:lineRule="auto"/>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4963160" cy="3205480"/>
            <wp:effectExtent l="0" t="0" r="8890" b="1397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9"/>
                    <a:stretch>
                      <a:fillRect/>
                    </a:stretch>
                  </pic:blipFill>
                  <pic:spPr>
                    <a:xfrm>
                      <a:off x="0" y="0"/>
                      <a:ext cx="4963160" cy="3205480"/>
                    </a:xfrm>
                    <a:prstGeom prst="rect">
                      <a:avLst/>
                    </a:prstGeom>
                  </pic:spPr>
                </pic:pic>
              </a:graphicData>
            </a:graphic>
          </wp:inline>
        </w:drawing>
      </w:r>
    </w:p>
    <w:p w14:paraId="2232C8C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该中心建筑面积约8681㎡，设业务科室12个，设全科、妇科、中医科、精神科、 口腔科、检验科、影像科、药剂科等。配有联影40排CT、西门子彩超、GE彩超、贝克曼全自动生化分析仪、优利特血液细胞分析仪等仪器设备。</w:t>
      </w:r>
    </w:p>
    <w:p w14:paraId="3682F58B">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F8CB39A">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767812D">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FF9754F">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246826B">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7A346A1">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526A7F2D">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27537F0">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4618BE43">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六：武汉东湖新技术开发区左岭街社区卫生服务中心（实景图）</w:t>
      </w:r>
    </w:p>
    <w:p w14:paraId="60A3B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646295" cy="2445385"/>
            <wp:effectExtent l="0" t="0" r="1905" b="12065"/>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10"/>
                    <a:stretch>
                      <a:fillRect/>
                    </a:stretch>
                  </pic:blipFill>
                  <pic:spPr>
                    <a:xfrm>
                      <a:off x="0" y="0"/>
                      <a:ext cx="4646295" cy="2445385"/>
                    </a:xfrm>
                    <a:prstGeom prst="rect">
                      <a:avLst/>
                    </a:prstGeom>
                  </pic:spPr>
                </pic:pic>
              </a:graphicData>
            </a:graphic>
          </wp:inline>
        </w:drawing>
      </w:r>
    </w:p>
    <w:p w14:paraId="0A242E8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10937.37㎡，同时中心二期武汉新城中心医院已启动建设。项目规划净用地面积为25481.5平方米，拟建总建筑面积约7.2万平方米，预计2026年下半年投入使用。设预防保健科、全科医疗科、内科、外科、妇产科、妇女保健科、儿科、眼科、口腔科、精神科、康复医学科、麻醉科、医学检验科、医学影像科、中医科、康复医学科、耳鼻咽喉科等。是集医疗、预防、保健、康复为一体的社区医院。</w:t>
      </w:r>
    </w:p>
    <w:p w14:paraId="3AC49E3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7EB53E3C">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5629F142">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253BE106">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6BD946D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7B8F6369">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263E9FA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6DA4F99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0A8F94C3">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七：武汉东湖新技术开发区龙泉街社区卫生服务中心（实景图）</w:t>
      </w:r>
    </w:p>
    <w:p w14:paraId="5551F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drawing>
          <wp:inline distT="0" distB="0" distL="114300" distR="114300">
            <wp:extent cx="5608320" cy="3097530"/>
            <wp:effectExtent l="0" t="0" r="11430" b="7620"/>
            <wp:docPr id="8" name="图片 8" descr="f4ef67f006d00175e4d0c03cb976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4ef67f006d00175e4d0c03cb97653a"/>
                    <pic:cNvPicPr>
                      <a:picLocks noChangeAspect="1"/>
                    </pic:cNvPicPr>
                  </pic:nvPicPr>
                  <pic:blipFill>
                    <a:blip r:embed="rId11"/>
                    <a:stretch>
                      <a:fillRect/>
                    </a:stretch>
                  </pic:blipFill>
                  <pic:spPr>
                    <a:xfrm>
                      <a:off x="0" y="0"/>
                      <a:ext cx="5608320" cy="3097530"/>
                    </a:xfrm>
                    <a:prstGeom prst="rect">
                      <a:avLst/>
                    </a:prstGeom>
                  </pic:spPr>
                </pic:pic>
              </a:graphicData>
            </a:graphic>
          </wp:inline>
        </w:drawing>
      </w:r>
    </w:p>
    <w:p w14:paraId="15B7098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29700㎡，其功能定位为中华园区域医疗中心，加挂“东湖高新区医养融合服务中心”牌子。专科发展方向定位为医养结合、老年病康复方向。中心集医疗、预防、康复、保健、健康教育、计划生育指导“六位一体”服务功能，着力打造“医疗护理员培训基地”。</w:t>
      </w:r>
    </w:p>
    <w:p w14:paraId="3E288418">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7CC0F0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1BE36E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B41BCF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383114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D720F6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A7D8F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F36CE7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4966FFE">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八：武汉东湖新技术开发区滨湖街社区卫生服务中心（实景图）</w:t>
      </w:r>
    </w:p>
    <w:p w14:paraId="64C0E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4743450" cy="2590800"/>
            <wp:effectExtent l="0" t="0" r="0" b="0"/>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12"/>
                    <a:stretch>
                      <a:fillRect/>
                    </a:stretch>
                  </pic:blipFill>
                  <pic:spPr>
                    <a:xfrm>
                      <a:off x="0" y="0"/>
                      <a:ext cx="4743450" cy="2590800"/>
                    </a:xfrm>
                    <a:prstGeom prst="rect">
                      <a:avLst/>
                    </a:prstGeom>
                  </pic:spPr>
                </pic:pic>
              </a:graphicData>
            </a:graphic>
          </wp:inline>
        </w:drawing>
      </w:r>
    </w:p>
    <w:p w14:paraId="721E98D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1380.5㎡，同时建筑规模达到8000㎡的新院区正在加快建设，预计2027年投入使用。设全科、中医科、医学检验科、医学影像科、公共卫生科等。配置心电监护仪、万东数字化X线摄影仪(DR)等仪器设备。</w:t>
      </w:r>
    </w:p>
    <w:p w14:paraId="082EE73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5A7A97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DEF3AE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C2D24F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EC1D73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276029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A3AE34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DA6426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B2D831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62CA934">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9BDCA0A">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九：武汉东湖新技术开发区关东街汤逊湖社区卫生服务中心（实景图）</w:t>
      </w:r>
    </w:p>
    <w:p w14:paraId="1DDECB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4878070" cy="2934335"/>
            <wp:effectExtent l="0" t="0" r="17780" b="18415"/>
            <wp:docPr id="13" name="图片 1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9"/>
                    <pic:cNvPicPr>
                      <a:picLocks noChangeAspect="1"/>
                    </pic:cNvPicPr>
                  </pic:nvPicPr>
                  <pic:blipFill>
                    <a:blip r:embed="rId13"/>
                    <a:stretch>
                      <a:fillRect/>
                    </a:stretch>
                  </pic:blipFill>
                  <pic:spPr>
                    <a:xfrm>
                      <a:off x="0" y="0"/>
                      <a:ext cx="4878070" cy="2934335"/>
                    </a:xfrm>
                    <a:prstGeom prst="rect">
                      <a:avLst/>
                    </a:prstGeom>
                  </pic:spPr>
                </pic:pic>
              </a:graphicData>
            </a:graphic>
          </wp:inline>
        </w:drawing>
      </w:r>
    </w:p>
    <w:p w14:paraId="6BD1E9A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该中心建筑面积5621.77㎡，设全科、儿科、口腔科、中医科、妇科、公共卫生科、检验科、放射科等。</w:t>
      </w:r>
      <w:r>
        <w:rPr>
          <w:rFonts w:hint="default" w:ascii="Times New Roman" w:hAnsi="Times New Roman" w:eastAsia="仿宋_GB2312" w:cs="Times New Roman"/>
          <w:snapToGrid w:val="0"/>
          <w:color w:val="000000"/>
          <w:kern w:val="0"/>
          <w:sz w:val="32"/>
          <w:szCs w:val="32"/>
          <w:highlight w:val="none"/>
          <w:lang w:val="en-US" w:eastAsia="zh-CN"/>
        </w:rPr>
        <w:t>对常见病、多发病及慢性病</w:t>
      </w:r>
      <w:r>
        <w:rPr>
          <w:rFonts w:hint="eastAsia" w:ascii="Times New Roman" w:hAnsi="Times New Roman" w:eastAsia="仿宋_GB2312" w:cs="Times New Roman"/>
          <w:snapToGrid w:val="0"/>
          <w:color w:val="000000"/>
          <w:kern w:val="0"/>
          <w:sz w:val="32"/>
          <w:szCs w:val="32"/>
          <w:highlight w:val="none"/>
          <w:lang w:val="en-US" w:eastAsia="zh-CN"/>
        </w:rPr>
        <w:t>等</w:t>
      </w:r>
      <w:r>
        <w:rPr>
          <w:rFonts w:hint="default" w:ascii="Times New Roman" w:hAnsi="Times New Roman" w:eastAsia="仿宋_GB2312" w:cs="Times New Roman"/>
          <w:snapToGrid w:val="0"/>
          <w:color w:val="000000"/>
          <w:kern w:val="0"/>
          <w:sz w:val="32"/>
          <w:szCs w:val="32"/>
          <w:highlight w:val="none"/>
          <w:lang w:val="en-US" w:eastAsia="zh-CN"/>
        </w:rPr>
        <w:t>均可诊疗。</w:t>
      </w:r>
    </w:p>
    <w:p w14:paraId="30268DB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364F153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F82E17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95C743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AB3936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113F548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5A0EAC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3D617888">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C4B1C83">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847EECE">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十：武汉东湖新技术开发区</w:t>
      </w:r>
      <w:r>
        <w:rPr>
          <w:rFonts w:hint="default" w:ascii="黑体" w:hAnsi="黑体" w:eastAsia="黑体" w:cs="黑体"/>
          <w:sz w:val="30"/>
          <w:szCs w:val="30"/>
          <w:lang w:val="en-US" w:eastAsia="zh-CN"/>
        </w:rPr>
        <w:t>九峰街中心城社区卫生服务中心</w:t>
      </w:r>
      <w:r>
        <w:rPr>
          <w:rFonts w:hint="eastAsia" w:ascii="黑体" w:hAnsi="黑体" w:eastAsia="黑体" w:cs="黑体"/>
          <w:sz w:val="30"/>
          <w:szCs w:val="30"/>
          <w:lang w:val="en-US" w:eastAsia="zh-CN"/>
        </w:rPr>
        <w:t>（实景图）</w:t>
      </w:r>
    </w:p>
    <w:p w14:paraId="5C9C0D7A">
      <w:pPr>
        <w:keepNext w:val="0"/>
        <w:keepLines w:val="0"/>
        <w:pageBreakBefore w:val="0"/>
        <w:widowControl w:val="0"/>
        <w:kinsoku/>
        <w:wordWrap/>
        <w:overflowPunct/>
        <w:topLinePunct w:val="0"/>
        <w:autoSpaceDE/>
        <w:autoSpaceDN/>
        <w:bidi w:val="0"/>
        <w:adjustRightInd w:val="0"/>
        <w:snapToGrid w:val="0"/>
        <w:spacing w:line="580" w:lineRule="exact"/>
        <w:ind w:firstLine="1280" w:firstLineChars="400"/>
        <w:textAlignment w:val="auto"/>
        <w:rPr>
          <w:rFonts w:hint="eastAsia" w:ascii="仿宋_GB2312" w:hAnsi="仿宋_GB2312" w:eastAsia="仿宋_GB2312" w:cs="仿宋_GB2312"/>
          <w:b/>
          <w:bCs/>
          <w:color w:val="auto"/>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61312" behindDoc="0" locked="0" layoutInCell="1" allowOverlap="1">
            <wp:simplePos x="0" y="0"/>
            <wp:positionH relativeFrom="column">
              <wp:posOffset>2910205</wp:posOffset>
            </wp:positionH>
            <wp:positionV relativeFrom="paragraph">
              <wp:posOffset>284480</wp:posOffset>
            </wp:positionV>
            <wp:extent cx="3051175" cy="2465070"/>
            <wp:effectExtent l="0" t="0" r="15875" b="11430"/>
            <wp:wrapSquare wrapText="bothSides"/>
            <wp:docPr id="14"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图片2"/>
                    <pic:cNvPicPr>
                      <a:picLocks noChangeAspect="1"/>
                    </pic:cNvPicPr>
                  </pic:nvPicPr>
                  <pic:blipFill>
                    <a:blip r:embed="rId14"/>
                    <a:stretch>
                      <a:fillRect/>
                    </a:stretch>
                  </pic:blipFill>
                  <pic:spPr>
                    <a:xfrm>
                      <a:off x="0" y="0"/>
                      <a:ext cx="3051175" cy="2465070"/>
                    </a:xfrm>
                    <a:prstGeom prst="rect">
                      <a:avLst/>
                    </a:prstGeom>
                    <a:noFill/>
                    <a:ln>
                      <a:noFill/>
                    </a:ln>
                  </pic:spPr>
                </pic:pic>
              </a:graphicData>
            </a:graphic>
          </wp:anchor>
        </w:drawing>
      </w:r>
      <w:r>
        <w:rPr>
          <w:rFonts w:hint="eastAsia" w:ascii="黑体" w:hAnsi="黑体" w:eastAsia="黑体" w:cs="黑体"/>
          <w:sz w:val="32"/>
          <w:szCs w:val="32"/>
          <w:lang w:val="en-US" w:eastAsia="zh-CN"/>
        </w:rPr>
        <w:drawing>
          <wp:anchor distT="0" distB="0" distL="114300" distR="114300" simplePos="0" relativeHeight="251660288" behindDoc="0" locked="0" layoutInCell="1" allowOverlap="1">
            <wp:simplePos x="0" y="0"/>
            <wp:positionH relativeFrom="column">
              <wp:posOffset>-187325</wp:posOffset>
            </wp:positionH>
            <wp:positionV relativeFrom="paragraph">
              <wp:posOffset>269240</wp:posOffset>
            </wp:positionV>
            <wp:extent cx="3014980" cy="2519045"/>
            <wp:effectExtent l="0" t="0" r="13970" b="14605"/>
            <wp:wrapSquare wrapText="bothSides"/>
            <wp:docPr id="1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片1"/>
                    <pic:cNvPicPr>
                      <a:picLocks noChangeAspect="1"/>
                    </pic:cNvPicPr>
                  </pic:nvPicPr>
                  <pic:blipFill>
                    <a:blip r:embed="rId15"/>
                    <a:stretch>
                      <a:fillRect/>
                    </a:stretch>
                  </pic:blipFill>
                  <pic:spPr>
                    <a:xfrm>
                      <a:off x="0" y="0"/>
                      <a:ext cx="3014980" cy="2519045"/>
                    </a:xfrm>
                    <a:prstGeom prst="rect">
                      <a:avLst/>
                    </a:prstGeom>
                    <a:noFill/>
                    <a:ln>
                      <a:noFill/>
                    </a:ln>
                  </pic:spPr>
                </pic:pic>
              </a:graphicData>
            </a:graphic>
          </wp:anchor>
        </w:drawing>
      </w:r>
      <w:r>
        <w:rPr>
          <w:rFonts w:hint="eastAsia" w:ascii="Times New Roman" w:hAnsi="Times New Roman" w:eastAsia="仿宋_GB2312" w:cs="Times New Roman"/>
          <w:color w:val="auto"/>
          <w:sz w:val="32"/>
          <w:szCs w:val="32"/>
          <w:lang w:val="en-US" w:eastAsia="zh-CN"/>
        </w:rPr>
        <w:t>西院区                          东院区</w:t>
      </w:r>
    </w:p>
    <w:p w14:paraId="51A8F62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该中心地处</w:t>
      </w:r>
      <w:r>
        <w:rPr>
          <w:rFonts w:hint="default" w:ascii="Times New Roman" w:hAnsi="Times New Roman" w:eastAsia="仿宋_GB2312" w:cs="Times New Roman"/>
          <w:snapToGrid w:val="0"/>
          <w:color w:val="000000"/>
          <w:kern w:val="0"/>
          <w:sz w:val="32"/>
          <w:szCs w:val="32"/>
          <w:highlight w:val="none"/>
          <w:lang w:val="en-US" w:eastAsia="zh-CN"/>
        </w:rPr>
        <w:t>光谷中心城核心区域，一院两区，同质化管理</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建筑面积为14067.7</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w:t>
      </w:r>
      <w:r>
        <w:rPr>
          <w:rFonts w:hint="eastAsia" w:ascii="Times New Roman" w:hAnsi="Times New Roman" w:eastAsia="仿宋_GB2312" w:cs="Times New Roman"/>
          <w:snapToGrid w:val="0"/>
          <w:color w:val="000000"/>
          <w:kern w:val="0"/>
          <w:sz w:val="32"/>
          <w:szCs w:val="32"/>
          <w:highlight w:val="none"/>
          <w:lang w:val="en-US" w:eastAsia="zh-CN"/>
        </w:rPr>
        <w:t>设全科</w:t>
      </w:r>
      <w:r>
        <w:rPr>
          <w:rFonts w:hint="default" w:ascii="Times New Roman" w:hAnsi="Times New Roman" w:eastAsia="仿宋_GB2312" w:cs="Times New Roman"/>
          <w:snapToGrid w:val="0"/>
          <w:color w:val="000000"/>
          <w:kern w:val="0"/>
          <w:sz w:val="32"/>
          <w:szCs w:val="32"/>
          <w:highlight w:val="none"/>
          <w:lang w:val="en-US" w:eastAsia="zh-CN"/>
        </w:rPr>
        <w:t>、内科、外科、妇科、儿科、预防保健科、口腔科、眼科、耳鼻喉科、医学美容科</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放射科、超声科、检验科</w:t>
      </w:r>
      <w:r>
        <w:rPr>
          <w:rFonts w:hint="eastAsia" w:ascii="Times New Roman" w:hAnsi="Times New Roman" w:eastAsia="仿宋_GB2312" w:cs="Times New Roman"/>
          <w:snapToGrid w:val="0"/>
          <w:color w:val="000000"/>
          <w:kern w:val="0"/>
          <w:sz w:val="32"/>
          <w:szCs w:val="32"/>
          <w:highlight w:val="none"/>
          <w:lang w:val="en-US" w:eastAsia="zh-CN"/>
        </w:rPr>
        <w:t>等</w:t>
      </w:r>
      <w:r>
        <w:rPr>
          <w:rFonts w:hint="default" w:ascii="Times New Roman" w:hAnsi="Times New Roman" w:eastAsia="仿宋_GB2312" w:cs="Times New Roman"/>
          <w:snapToGrid w:val="0"/>
          <w:color w:val="000000"/>
          <w:kern w:val="0"/>
          <w:sz w:val="32"/>
          <w:szCs w:val="32"/>
          <w:highlight w:val="none"/>
          <w:lang w:val="en-US" w:eastAsia="zh-CN"/>
        </w:rPr>
        <w:t>。配置60排螺旋CT、全自动DR、层流手术室、高端彩色多普勒超声、双能X线骨密度仪、口腔CBCT、全自动发药机、全自动生化分析仪、化学发光仪等大型医疗设备。</w:t>
      </w:r>
    </w:p>
    <w:p w14:paraId="3093EC23">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6C61581F">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6427E6BB">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05197ECC">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13204685">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17DD8930">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十一：武汉东湖新技术开发区</w:t>
      </w:r>
      <w:r>
        <w:rPr>
          <w:rFonts w:hint="default" w:ascii="黑体" w:hAnsi="黑体" w:eastAsia="黑体" w:cs="黑体"/>
          <w:sz w:val="30"/>
          <w:szCs w:val="30"/>
          <w:lang w:val="en-US" w:eastAsia="zh-CN"/>
        </w:rPr>
        <w:t>佛祖岭街黄龙山社区卫生服务中心</w:t>
      </w:r>
      <w:r>
        <w:rPr>
          <w:rFonts w:hint="eastAsia" w:ascii="黑体" w:hAnsi="黑体" w:eastAsia="黑体" w:cs="黑体"/>
          <w:sz w:val="30"/>
          <w:szCs w:val="30"/>
          <w:lang w:val="en-US" w:eastAsia="zh-CN"/>
        </w:rPr>
        <w:t>（效果图）</w:t>
      </w:r>
    </w:p>
    <w:p w14:paraId="1F580869">
      <w:pPr>
        <w:keepNext w:val="0"/>
        <w:keepLines w:val="0"/>
        <w:pageBreakBefore w:val="0"/>
        <w:widowControl w:val="0"/>
        <w:kinsoku/>
        <w:wordWrap/>
        <w:overflowPunct/>
        <w:topLinePunct w:val="0"/>
        <w:autoSpaceDE/>
        <w:autoSpaceDN/>
        <w:bidi w:val="0"/>
        <w:adjustRightInd w:val="0"/>
        <w:snapToGrid w:val="0"/>
        <w:spacing w:line="240" w:lineRule="auto"/>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233035" cy="2710180"/>
            <wp:effectExtent l="0" t="0" r="5715" b="13970"/>
            <wp:docPr id="16" name="图片 1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0"/>
                    <pic:cNvPicPr>
                      <a:picLocks noChangeAspect="1"/>
                    </pic:cNvPicPr>
                  </pic:nvPicPr>
                  <pic:blipFill>
                    <a:blip r:embed="rId16"/>
                    <a:stretch>
                      <a:fillRect/>
                    </a:stretch>
                  </pic:blipFill>
                  <pic:spPr>
                    <a:xfrm>
                      <a:off x="0" y="0"/>
                      <a:ext cx="5233035" cy="2710180"/>
                    </a:xfrm>
                    <a:prstGeom prst="rect">
                      <a:avLst/>
                    </a:prstGeom>
                  </pic:spPr>
                </pic:pic>
              </a:graphicData>
            </a:graphic>
          </wp:inline>
        </w:drawing>
      </w:r>
    </w:p>
    <w:p w14:paraId="2FCF91D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目前还在筹建阶段，预计2年后完工，建筑面积约36000㎡，按照区中医医学中心要求设立，发挥中医药优势，突出中医专科特色，计划经过1至3年努力，力争中医肛肠科进入市级中医重点专科、省级中医重点专科，中医骨伤科及中医综合内科进入市级中医重点专科。</w:t>
      </w:r>
    </w:p>
    <w:p w14:paraId="18F4F8F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sectPr>
      <w:footerReference r:id="rId3" w:type="default"/>
      <w:pgSz w:w="11906" w:h="16838"/>
      <w:pgMar w:top="2041"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0AFF" w:usb1="00007843" w:usb2="00000001" w:usb3="00000000" w:csb0="400001BF" w:csb1="DFF7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68EC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96C1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7E96C1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4Y2M5MmI3MTZkYjM2MmU5NmZmMmE3NGI2MDAxZDYifQ=="/>
  </w:docVars>
  <w:rsids>
    <w:rsidRoot w:val="5C170810"/>
    <w:rsid w:val="00FB09D5"/>
    <w:rsid w:val="02191EDF"/>
    <w:rsid w:val="02B32C00"/>
    <w:rsid w:val="03EF1A15"/>
    <w:rsid w:val="048B5BE2"/>
    <w:rsid w:val="05101854"/>
    <w:rsid w:val="0548495D"/>
    <w:rsid w:val="055F137A"/>
    <w:rsid w:val="06FF6413"/>
    <w:rsid w:val="079F6163"/>
    <w:rsid w:val="08D90FCC"/>
    <w:rsid w:val="096A04BC"/>
    <w:rsid w:val="0A432ABB"/>
    <w:rsid w:val="0E700D32"/>
    <w:rsid w:val="0FB163FA"/>
    <w:rsid w:val="0FE978C9"/>
    <w:rsid w:val="10C5247C"/>
    <w:rsid w:val="116F3D5E"/>
    <w:rsid w:val="11B971EA"/>
    <w:rsid w:val="12D01FD2"/>
    <w:rsid w:val="13BE4185"/>
    <w:rsid w:val="17317A68"/>
    <w:rsid w:val="173D435E"/>
    <w:rsid w:val="174D596C"/>
    <w:rsid w:val="19173A91"/>
    <w:rsid w:val="19A75E26"/>
    <w:rsid w:val="1A17418B"/>
    <w:rsid w:val="1BC03F6C"/>
    <w:rsid w:val="1BF24E16"/>
    <w:rsid w:val="1C6F7CBB"/>
    <w:rsid w:val="1C7F5BD5"/>
    <w:rsid w:val="1C821221"/>
    <w:rsid w:val="1D792624"/>
    <w:rsid w:val="1EA25BAA"/>
    <w:rsid w:val="20DE79B0"/>
    <w:rsid w:val="25133996"/>
    <w:rsid w:val="28247630"/>
    <w:rsid w:val="288D293A"/>
    <w:rsid w:val="29C16F63"/>
    <w:rsid w:val="2DE758BA"/>
    <w:rsid w:val="2E894691"/>
    <w:rsid w:val="2EC60F6B"/>
    <w:rsid w:val="30EA249A"/>
    <w:rsid w:val="31666F0B"/>
    <w:rsid w:val="31BA2990"/>
    <w:rsid w:val="3221750A"/>
    <w:rsid w:val="33B30485"/>
    <w:rsid w:val="33CA64EA"/>
    <w:rsid w:val="35A553C2"/>
    <w:rsid w:val="36784EC8"/>
    <w:rsid w:val="37BD0E21"/>
    <w:rsid w:val="387B606A"/>
    <w:rsid w:val="3A0A6109"/>
    <w:rsid w:val="3BAF52E8"/>
    <w:rsid w:val="3D290FBC"/>
    <w:rsid w:val="3E0A0D5D"/>
    <w:rsid w:val="400F412F"/>
    <w:rsid w:val="40970E8F"/>
    <w:rsid w:val="41206CCA"/>
    <w:rsid w:val="41F30C09"/>
    <w:rsid w:val="424C65C5"/>
    <w:rsid w:val="450308A1"/>
    <w:rsid w:val="45132AAF"/>
    <w:rsid w:val="45CC2697"/>
    <w:rsid w:val="47413903"/>
    <w:rsid w:val="483D677C"/>
    <w:rsid w:val="495302FE"/>
    <w:rsid w:val="4A4A6F73"/>
    <w:rsid w:val="4A9E1EBD"/>
    <w:rsid w:val="4CA806BF"/>
    <w:rsid w:val="4CE36D98"/>
    <w:rsid w:val="4D796352"/>
    <w:rsid w:val="54276342"/>
    <w:rsid w:val="55574F50"/>
    <w:rsid w:val="55711857"/>
    <w:rsid w:val="55B55BE8"/>
    <w:rsid w:val="569A4DDE"/>
    <w:rsid w:val="56BF14EB"/>
    <w:rsid w:val="5A214FBB"/>
    <w:rsid w:val="5B8C6E52"/>
    <w:rsid w:val="5C170810"/>
    <w:rsid w:val="5C397244"/>
    <w:rsid w:val="5CA442C0"/>
    <w:rsid w:val="5D9D3E0E"/>
    <w:rsid w:val="5E4F4700"/>
    <w:rsid w:val="5F361E7A"/>
    <w:rsid w:val="5FCF5AF8"/>
    <w:rsid w:val="601B6F8F"/>
    <w:rsid w:val="601E082E"/>
    <w:rsid w:val="6138591F"/>
    <w:rsid w:val="62DD22DA"/>
    <w:rsid w:val="63B219B9"/>
    <w:rsid w:val="65800CA9"/>
    <w:rsid w:val="65EB5DDC"/>
    <w:rsid w:val="65FC2ACA"/>
    <w:rsid w:val="65FD4653"/>
    <w:rsid w:val="66104C7B"/>
    <w:rsid w:val="66E0683D"/>
    <w:rsid w:val="68660054"/>
    <w:rsid w:val="68D128E1"/>
    <w:rsid w:val="690C1B6B"/>
    <w:rsid w:val="6AB84856"/>
    <w:rsid w:val="6C304E08"/>
    <w:rsid w:val="6C9277A6"/>
    <w:rsid w:val="6CF33408"/>
    <w:rsid w:val="6E182E13"/>
    <w:rsid w:val="6F0504DA"/>
    <w:rsid w:val="71D451F0"/>
    <w:rsid w:val="74C4779E"/>
    <w:rsid w:val="75E147C3"/>
    <w:rsid w:val="790B1D74"/>
    <w:rsid w:val="795F5CE7"/>
    <w:rsid w:val="7A792DD8"/>
    <w:rsid w:val="7BB7674A"/>
    <w:rsid w:val="7BE02502"/>
    <w:rsid w:val="7C943305"/>
    <w:rsid w:val="7D7C4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afterLines="0" w:afterAutospacing="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paragraph" w:styleId="7">
    <w:name w:val="Body Text First Indent 2"/>
    <w:basedOn w:val="3"/>
    <w:qFormat/>
    <w:uiPriority w:val="0"/>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武汉市东湖高新管委会</Company>
  <Pages>12</Pages>
  <Words>2247</Words>
  <Characters>2362</Characters>
  <Lines>0</Lines>
  <Paragraphs>0</Paragraphs>
  <TotalTime>1</TotalTime>
  <ScaleCrop>false</ScaleCrop>
  <LinksUpToDate>false</LinksUpToDate>
  <CharactersWithSpaces>2390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2024-10-10T01:10:00Z</dcterms:created>
  <dc:creator>lenovo</dc:creator>
  <cp:lastModifiedBy>Administrator</cp:lastModifiedBy>
  <cp:lastPrinted>2024-11-11T00:47:58Z</cp:lastPrinted>
  <dcterms:modified xsi:type="dcterms:W3CDTF">2024-11-11T00:48:06Z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2CB9CE774E4C42A685741E3565B82178_13</vt:lpwstr>
  </property>
</Properties>
</file>